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4E79"/>
          <w:sz w:val="30"/>
          <w:szCs w:val="30"/>
        </w:rPr>
        <w:t xml:space="preserve">АНАЛІЗ НАВЧАЛЬНИХ ДОСЯГНЕНЬ</w:t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4E79"/>
          <w:sz w:val="30"/>
          <w:szCs w:val="30"/>
        </w:rPr>
        <w:t xml:space="preserve">У РОЗРІЗІ НАВЧАЛЬНИХ ПРЕДМЕТІВ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3"/>
          <w:szCs w:val="23"/>
        </w:rPr>
        <w:t xml:space="preserve">Додаток до доповіді на педраду за 2025–2026 навчальний рік</w:t>
      </w:r>
    </w:p>
    <w:p>
      <w:pPr>
        <w:spacing w:after="40"/>
        <w:jc w:val="center"/>
      </w:pPr>
      <w:r>
        <w:rPr>
          <w:rFonts w:ascii="Calibri" w:cs="Calibri" w:eastAsia="Calibri" w:hAnsi="Calibri"/>
          <w:i/>
          <w:iCs/>
          <w:sz w:val="21"/>
          <w:szCs w:val="21"/>
        </w:rPr>
        <w:t xml:space="preserve">Заклад загальної середньої освіти «Полицівський ліцей»</w:t>
      </w:r>
    </w:p>
    <w:p>
      <w:pPr>
        <w:spacing w:after="260"/>
        <w:jc w:val="center"/>
      </w:pPr>
      <w:r>
        <w:rPr>
          <w:rFonts w:ascii="Calibri" w:cs="Calibri" w:eastAsia="Calibri" w:hAnsi="Calibri"/>
          <w:i/>
          <w:iCs/>
          <w:color w:val="595959"/>
          <w:sz w:val="21"/>
          <w:szCs w:val="21"/>
        </w:rPr>
        <w:t xml:space="preserve">Камінь-Каширської міської ради Волинської області, с. Полиці</w:t>
      </w:r>
    </w:p>
    <w:p>
      <w:pPr>
        <w:pStyle w:val="Heading2"/>
        <w:spacing w:after="110" w:before="220"/>
      </w:pPr>
      <w:r>
        <w:rPr>
          <w:rFonts w:ascii="Calibri" w:cs="Calibri" w:eastAsia="Calibri" w:hAnsi="Calibri"/>
          <w:b/>
          <w:bCs/>
          <w:color w:val="2E75B6"/>
          <w:sz w:val="23"/>
          <w:szCs w:val="23"/>
        </w:rPr>
        <w:t xml:space="preserve">Методика аналізу</w:t>
      </w:r>
    </w:p>
    <w:p>
      <w:pPr>
        <w:spacing w:after="13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Аналіз побудовано на розділах «Зведений облік навчальних досягнень учнів» 7 класних журналів (5–11 класи), де річний бал виставлено по кожному предмету окремо. Для кожного предмета обчислено середній річний бал по школі, зважений на кількість атестованих учнів у кожному класі, де цей предмет викладається. 1–4 класи використовують вербальне (рівневе) оцінювання без числових балів, тому в цей розріз не включені.</w:t>
      </w:r>
    </w:p>
    <w:p>
      <w:pPr>
        <w:spacing w:after="13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Позначку «*» біля Алгебри й Геометрії використано тому, що в 10 і 11 класах річні бали з цих предметів не виставлені (див. розділ «Наскрізні висновки»); середній по школі розраховано лише за класами, де річна оцінка фактично є (Алгебра — 7–10 класи, Геометрія — 7–9 класи).</w:t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1F4E79"/>
          <w:sz w:val="27"/>
          <w:szCs w:val="27"/>
        </w:rPr>
        <w:t xml:space="preserve">1. Загальна картина по школі</w:t>
      </w:r>
    </w:p>
    <w:p>
      <w:pPr>
        <w:spacing w:after="60" w:before="100"/>
        <w:jc w:val="center"/>
      </w:pPr>
      <w:r>
        <w:drawing>
          <wp:inline distT="0" distB="0" distL="0" distR="0">
            <wp:extent cx="4953000" cy="50863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508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Calibri" w:cs="Calibri" w:eastAsia="Calibri" w:hAnsi="Calibri"/>
          <w:i/>
          <w:iCs/>
          <w:color w:val="595959"/>
          <w:sz w:val="18"/>
          <w:szCs w:val="18"/>
        </w:rPr>
        <w:t xml:space="preserve">Діаграма 1. Середній бал по школі за предметами (5–11 класи, зважено за кількістю учнів).</w:t>
      </w:r>
    </w:p>
    <w:p>
      <w:pPr>
        <w:spacing w:after="13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Результати демонструють чіткий і послідовний розподіл на три групи. Найвищі середні бали — у фізичної культури (10,00 по всій школі) та мистецьких дисциплін (музичне мистецтво 10,36, образотворче мистецтво 9,02 в 5–8 класах); середню групу становлять мовно-літературні та суспільствознавчі предмети (6,0–7,0); найнижчі бали — стабільно в природничо-математичному циклі: фізика (5,49), хімія (5,53), геометрія (5,69), алгебра (5,72) та біологія (5,98) — усі нижче загальношкільного порогу 6,0 бала.</w:t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1F4E79"/>
          <w:sz w:val="27"/>
          <w:szCs w:val="27"/>
        </w:rPr>
        <w:t xml:space="preserve">2. Найкращі та найслабші предмети в кожному класі</w:t>
      </w:r>
    </w:p>
    <w:tbl>
      <w:tblPr>
        <w:tblW w:type="dxa" w:w="930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500"/>
        <w:gridCol w:w="4200"/>
        <w:gridCol w:w="4600"/>
      </w:tblGrid>
      <w:tr>
        <w:trPr>
          <w:tblHeader/>
        </w:trPr>
        <w:tc>
          <w:tcPr>
            <w:tcW w:type="dxa" w:w="500"/>
            <w:shd w:fill="2E75B6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Клас</w:t>
            </w:r>
          </w:p>
        </w:tc>
        <w:tc>
          <w:tcPr>
            <w:tcW w:type="dxa" w:w="4200"/>
            <w:shd w:fill="2E75B6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Топ-3 предмети (найвищий бал)</w:t>
            </w:r>
          </w:p>
        </w:tc>
        <w:tc>
          <w:tcPr>
            <w:tcW w:type="dxa" w:w="4600"/>
            <w:shd w:fill="2E75B6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Топ-3 предмети (найнижчий бал)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4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Музичне мист. (10,43); Фіз. культура (10,21); Технології (9,71)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Математика (5,93); Зарубіжна літ. (6,21); Укр. мова (6,57)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4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Музичне мист. (10,2); Фіз. культура (10,1); Технології (9,3)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Укр. мова (6,4); Укр. літ. (6,5); Всесвітня іст./іст. України (6,6)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4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Музичне мист. (10,5); Фіз. культура (9,93); Образ. мист. (9,07)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Хімія (5,43); Фізика (5,57); Алгебра/Геометрія (5,64)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4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Музичне мист. (10,27); Фіз. культура (9,80); Образ. мист. (8,87)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Фізика (5,93); Геометрія/Зарубіжна літ. (6,00)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4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Фіз. культура (10,00); Технології (8,15); Інформатика (8,08)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Фізика (5,08); Хімія (5,31); Біологія/Геометрія (5,38)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4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Фіз. культура (9,75); Всесвітня іст. (6,5); Інформатика/Іст. України (6,25)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Хімія (4,25); Фізика (4,75); Зарубіжна/Укр. літ. (4,875); Геометрія — річної немає</w:t>
            </w:r>
          </w:p>
        </w:tc>
      </w:tr>
      <w:tr>
        <w:tc>
          <w:tcPr>
            <w:tcW w:type="dxa" w:w="5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42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Фіз. культура (10,18); Інформатика (7,09); Астрономія (7,00)</w:t>
            </w:r>
          </w:p>
        </w:tc>
        <w:tc>
          <w:tcPr>
            <w:tcW w:type="dxa" w:w="46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Біологія (5,73); Фізика/Хімія (5,82); Зарубіжна літ. (6,00); Алгебра/Геометрія — річної немає</w:t>
            </w:r>
          </w:p>
        </w:tc>
      </w:tr>
    </w:tbl>
    <w:p>
      <w:pPr>
        <w:spacing w:after="130" w:line="300"/>
        <w:jc w:val="both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z w:val="21"/>
          <w:szCs w:val="21"/>
        </w:rPr>
        <w:t xml:space="preserve">У всіх без винятку 7 класах з числовим оцінюванням (5–11) фізична культура посідає 1-ше місце за середнім балом, а предмети природничо-математичного циклу (фізика, хімія, геометрія, алгебра, біологія) без жодного винятку входять до трійки найслабших. Це не особливість окремого класу чи вчителя, а наскрізна закономірність усієї школи.</w:t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1F4E79"/>
          <w:sz w:val="27"/>
          <w:szCs w:val="27"/>
        </w:rPr>
        <w:t xml:space="preserve">3. Зведений рейтинг предметів по школі</w:t>
      </w:r>
    </w:p>
    <w:tbl>
      <w:tblPr>
        <w:tblW w:type="dxa" w:w="7900"/>
        <w:tblBorders>
          <w:top w:val="single" w:color="AAAAAA" w:sz="4"/>
          <w:left w:val="single" w:color="AAAAAA" w:sz="4"/>
          <w:bottom w:val="single" w:color="AAAAAA" w:sz="4"/>
          <w:right w:val="single" w:color="AAAAAA" w:sz="4"/>
          <w:insideH w:val="single" w:color="AAAAAA" w:sz="4"/>
          <w:insideV w:val="single" w:color="AAAAAA" w:sz="4"/>
        </w:tblBorders>
      </w:tblPr>
      <w:tblGrid>
        <w:gridCol w:w="3700"/>
        <w:gridCol w:w="1400"/>
        <w:gridCol w:w="1400"/>
        <w:gridCol w:w="1400"/>
      </w:tblGrid>
      <w:tr>
        <w:trPr>
          <w:tblHeader/>
        </w:trPr>
        <w:tc>
          <w:tcPr>
            <w:tcW w:type="dxa" w:w="3700"/>
            <w:shd w:fill="2E75B6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Предмет</w:t>
            </w:r>
          </w:p>
        </w:tc>
        <w:tc>
          <w:tcPr>
            <w:tcW w:type="dxa" w:w="1400"/>
            <w:shd w:fill="2E75B6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Класи</w:t>
            </w:r>
          </w:p>
        </w:tc>
        <w:tc>
          <w:tcPr>
            <w:tcW w:type="dxa" w:w="1400"/>
            <w:shd w:fill="2E75B6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Сер. бал</w:t>
            </w:r>
          </w:p>
        </w:tc>
        <w:tc>
          <w:tcPr>
            <w:tcW w:type="dxa" w:w="1400"/>
            <w:shd w:fill="2E75B6" w:val="clear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Учнів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Фізична культура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10,00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84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Музичне мистецтво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5–8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10,36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53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Образотворче мистецтво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5–8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9,02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53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Культура добросусідства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5–6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8,50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Технології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5–9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8,38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66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Інформатика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7,81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85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Пізнаємо природу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5–6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7,59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Здоров'я, безпека і добробут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5–8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7,19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53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Громадянська освіта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6–8, 10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6,92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47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Мистецтво (інтегр. курс)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9, 11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6,83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Історія України та громад. освіта (інтегр.)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5–6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6,62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24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Географія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6,51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71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Всесвітня історія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6,44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Англійська мова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6,41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85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Історія України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6,28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Українська література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6,28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85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Українська мова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6,19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85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Зарубіжна література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6,06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85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Біологія (і екологія)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5,98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Алгебра*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7–10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5,72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50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Геометрія*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7–9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5,69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42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Хімія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5,53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</w:t>
            </w:r>
          </w:p>
        </w:tc>
      </w:tr>
      <w:tr>
        <w:tc>
          <w:tcPr>
            <w:tcW w:type="dxa" w:w="37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Фізика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7–11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5,49</w:t>
            </w:r>
          </w:p>
        </w:tc>
        <w:tc>
          <w:tcPr>
            <w:tcW w:type="dxa" w:w="1400"/>
            <w:tcMar>
              <w:top w:type="dxa" w:w="50"/>
              <w:left w:type="dxa" w:w="80"/>
              <w:bottom w:type="dxa" w:w="5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61</w:t>
            </w:r>
          </w:p>
        </w:tc>
      </w:tr>
    </w:tbl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1F4E79"/>
          <w:sz w:val="27"/>
          <w:szCs w:val="27"/>
        </w:rPr>
        <w:t xml:space="preserve">4. Наскрізні висновки та виявлені аномалії</w:t>
      </w:r>
    </w:p>
    <w:p>
      <w:pPr>
        <w:pStyle w:val="ListParagraph"/>
        <w:numPr>
          <w:ilvl w:val="0"/>
          <w:numId w:val="2"/>
        </w:numPr>
        <w:spacing w:after="11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Системно завищені бали з фізичної культури та мистецьких дисциплін. </w:t>
      </w:r>
      <w:r>
        <w:rPr>
          <w:rFonts w:ascii="Calibri" w:cs="Calibri" w:eastAsia="Calibri" w:hAnsi="Calibri"/>
          <w:sz w:val="21"/>
          <w:szCs w:val="21"/>
        </w:rPr>
        <w:t xml:space="preserve">Фізична культура — середній бал 10,00 по всій школі (5–11 класи, 84 учні), що є найвищим показником з усіх предметів у кожному без винятку класі. Музичне й образотворче мистецтво в 5–8 класах — на рівні 9,0–10,4. Настільки одноманітно висока й вузько розподілена оцінка ставить питання про об'єктивність і диференційованість критеріїв оцінювання з цих предметів.</w:t>
      </w:r>
    </w:p>
    <w:p>
      <w:pPr>
        <w:pStyle w:val="ListParagraph"/>
        <w:numPr>
          <w:ilvl w:val="0"/>
          <w:numId w:val="2"/>
        </w:numPr>
        <w:spacing w:after="11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Стабільно найнижчі бали з природничо-математичного циклу. </w:t>
      </w:r>
      <w:r>
        <w:rPr>
          <w:rFonts w:ascii="Calibri" w:cs="Calibri" w:eastAsia="Calibri" w:hAnsi="Calibri"/>
          <w:sz w:val="21"/>
          <w:szCs w:val="21"/>
        </w:rPr>
        <w:t xml:space="preserve">У 7 із 7 класів з числовим оцінюванням фізика, хімія, геометрія та алгебра входять до найслабших предметів (загальношкільні середні 5,49–5,72 — єдині показники нижче порогу 6,0). Це системна методична проблема, а не окремі випадки.</w:t>
      </w:r>
    </w:p>
    <w:p>
      <w:pPr>
        <w:pStyle w:val="ListParagraph"/>
        <w:numPr>
          <w:ilvl w:val="0"/>
          <w:numId w:val="2"/>
        </w:numPr>
        <w:spacing w:after="11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Річні оцінки з геометрії (10, 11 кл.) та алгебри (11 кл.) не виставлені жодному учневі. </w:t>
      </w:r>
      <w:r>
        <w:rPr>
          <w:rFonts w:ascii="Calibri" w:cs="Calibri" w:eastAsia="Calibri" w:hAnsi="Calibri"/>
          <w:sz w:val="21"/>
          <w:szCs w:val="21"/>
        </w:rPr>
        <w:t xml:space="preserve">У 10 класі річна оцінка з геометрії відсутня в усіх 8 учнів (за наявності семестрових оцінок); у 11 класі річні оцінки відсутні і з алгебри, і з геометрії в усіх 12 учнів. В обох класах це системна прогалина одного й того самого предмета/циклу, що повторюється два роки поспіль.</w:t>
      </w:r>
    </w:p>
    <w:p>
      <w:pPr>
        <w:pStyle w:val="ListParagraph"/>
        <w:numPr>
          <w:ilvl w:val="0"/>
          <w:numId w:val="2"/>
        </w:numPr>
        <w:spacing w:after="11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Аномальний збіг оцінок у 11 класі. </w:t>
      </w:r>
      <w:r>
        <w:rPr>
          <w:rFonts w:ascii="Calibri" w:cs="Calibri" w:eastAsia="Calibri" w:hAnsi="Calibri"/>
          <w:sz w:val="21"/>
          <w:szCs w:val="21"/>
        </w:rPr>
        <w:t xml:space="preserve">У кожного з 11 атестованих учнів 11 класу річний бал з «Української літератури» точно збігається з балом з «Української мови», а бал з «Фізики» — точно з балом з «Хімії» (розбіжностей немає в жодного учня). Це нетипово стабільний збіг, що потребує перевірки — чи не виставляються оцінки з другого предмета пари механічно, без окремого оцінювання.</w:t>
      </w:r>
    </w:p>
    <w:p>
      <w:pPr>
        <w:pStyle w:val="ListParagraph"/>
        <w:numPr>
          <w:ilvl w:val="0"/>
          <w:numId w:val="2"/>
        </w:numPr>
        <w:spacing w:after="11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Учні без жодного запису в журналі. </w:t>
      </w:r>
      <w:r>
        <w:rPr>
          <w:rFonts w:ascii="Calibri" w:cs="Calibri" w:eastAsia="Calibri" w:hAnsi="Calibri"/>
          <w:sz w:val="21"/>
          <w:szCs w:val="21"/>
        </w:rPr>
        <w:t xml:space="preserve">У 6 класі учень Ворошик Антон Андрійович не має жодної оцінки, жодної відмітки відвідування — за жодним предметом і жоден семестр (запис по учневі відсутній повністю). У 5 класі учениця Задерей Владислава Вадимівна не атестована з жодного предмета, хоча в журналі мала б бути позначка «н/а» (не атестований(а)), а не порожня клітинка. Обидва випадки доповнюють список «невидимих» учнів із основної доповіді педраді.</w:t>
      </w:r>
    </w:p>
    <w:p>
      <w:pPr>
        <w:pStyle w:val="Heading1"/>
        <w:spacing w:after="150" w:before="320"/>
      </w:pPr>
      <w:r>
        <w:rPr>
          <w:rFonts w:ascii="Calibri" w:cs="Calibri" w:eastAsia="Calibri" w:hAnsi="Calibri"/>
          <w:b/>
          <w:bCs/>
          <w:color w:val="1F4E79"/>
          <w:sz w:val="27"/>
          <w:szCs w:val="27"/>
        </w:rPr>
        <w:t xml:space="preserve">5. Рекомендації</w:t>
      </w:r>
    </w:p>
    <w:p>
      <w:pPr>
        <w:pStyle w:val="ListParagraph"/>
        <w:numPr>
          <w:ilvl w:val="0"/>
          <w:numId w:val="1"/>
        </w:numPr>
        <w:spacing w:after="9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Методичним об'єднанням учителів фізичної культури, музичного та образотворчого мистецтва — провести </w:t>
      </w:r>
      <w:r>
        <w:rPr>
          <w:rFonts w:ascii="Calibri" w:cs="Calibri" w:eastAsia="Calibri" w:hAnsi="Calibri"/>
          <w:sz w:val="21"/>
          <w:szCs w:val="21"/>
        </w:rPr>
        <w:t xml:space="preserve">наскрізну методичну перевірку критеріїв і об'єктивності поточного та підсумкового оцінювання з фізичної культури, музичного та образотворчого мистецтва — з огляду на вкрай вузький розподіл балів (переважно 9–12) в усіх класах.</w:t>
      </w:r>
    </w:p>
    <w:p>
      <w:pPr>
        <w:pStyle w:val="ListParagraph"/>
        <w:numPr>
          <w:ilvl w:val="0"/>
          <w:numId w:val="1"/>
        </w:numPr>
        <w:spacing w:after="9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Методичному об'єднанню вчителів природничо-математичного циклу — розробити план методичної підтримки </w:t>
      </w:r>
      <w:r>
        <w:rPr>
          <w:rFonts w:ascii="Calibri" w:cs="Calibri" w:eastAsia="Calibri" w:hAnsi="Calibri"/>
          <w:sz w:val="21"/>
          <w:szCs w:val="21"/>
        </w:rPr>
        <w:t xml:space="preserve">(алгебра, геометрія, фізика, хімія, біологія): взаємовідвідування уроків, обмін досвідом, аналіз типових помилок учнів за результатами контрольних робіт, посилення диференційованого навчання у 9–10 класах, де показники найнижчі.</w:t>
      </w:r>
    </w:p>
    <w:p>
      <w:pPr>
        <w:pStyle w:val="ListParagraph"/>
        <w:numPr>
          <w:ilvl w:val="0"/>
          <w:numId w:val="1"/>
        </w:numPr>
        <w:spacing w:after="9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Учителю(-ям) математики — виставити відсутні річні оцінки </w:t>
      </w:r>
      <w:r>
        <w:rPr>
          <w:rFonts w:ascii="Calibri" w:cs="Calibri" w:eastAsia="Calibri" w:hAnsi="Calibri"/>
          <w:sz w:val="21"/>
          <w:szCs w:val="21"/>
        </w:rPr>
        <w:t xml:space="preserve">з геометрії в 10 класі та з алгебри й геометрії в 11 класі негайно, до розгляду підсумків року адміністрацією.</w:t>
      </w:r>
    </w:p>
    <w:p>
      <w:pPr>
        <w:pStyle w:val="ListParagraph"/>
        <w:numPr>
          <w:ilvl w:val="0"/>
          <w:numId w:val="1"/>
        </w:numPr>
        <w:spacing w:after="9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Класному керівнику 11 класу спільно з учителями-предметниками — перевірити </w:t>
      </w:r>
      <w:r>
        <w:rPr>
          <w:rFonts w:ascii="Calibri" w:cs="Calibri" w:eastAsia="Calibri" w:hAnsi="Calibri"/>
          <w:sz w:val="21"/>
          <w:szCs w:val="21"/>
        </w:rPr>
        <w:t xml:space="preserve">оцінки з пар предметів «українська мова / українська література» та «фізика / хімія» в 11 класі — пересвідчитися, що кожен предмет оцінюється окремо на підставі власних результатів навчання.</w:t>
      </w:r>
    </w:p>
    <w:p>
      <w:pPr>
        <w:pStyle w:val="ListParagraph"/>
        <w:numPr>
          <w:ilvl w:val="0"/>
          <w:numId w:val="1"/>
        </w:numPr>
        <w:spacing w:after="90" w:line="285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Адміністрації закладу — включити до порядку денного засідання, присвяченого підсумкам року, окреме питання </w:t>
      </w:r>
      <w:r>
        <w:rPr>
          <w:rFonts w:ascii="Calibri" w:cs="Calibri" w:eastAsia="Calibri" w:hAnsi="Calibri"/>
          <w:sz w:val="21"/>
          <w:szCs w:val="21"/>
        </w:rPr>
        <w:t xml:space="preserve">щодо ведення обліку учнів Ворошика Антона (6 кл.) і Задерей Владислави (5 кл.) — з'ясувати фактичний статус навчання і внести відповідні записи в журнал.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42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5c32d912847f7ddd49bc5f5fb007cde54a9daa5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2026-08-18T13:16:38.114Z</dcterms:created>
  <dcterms:modified xsi:type="dcterms:W3CDTF">2026-08-18T13:16:38.124Z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